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2263" w:rsidRPr="00153EF0" w:rsidRDefault="008D2263" w:rsidP="008D2263">
      <w:pPr>
        <w:spacing w:after="0" w:line="240" w:lineRule="auto"/>
        <w:rPr>
          <w:rFonts w:ascii="Tahoma" w:eastAsia="Times New Roman" w:hAnsi="Tahoma" w:cs="Tahoma"/>
          <w:color w:val="000000"/>
          <w:sz w:val="14"/>
          <w:szCs w:val="14"/>
          <w:shd w:val="clear" w:color="auto" w:fill="FFFFFF"/>
          <w:lang w:eastAsia="es-ES"/>
        </w:rPr>
      </w:pPr>
      <w:bookmarkStart w:id="0" w:name="_GoBack"/>
      <w:bookmarkEnd w:id="0"/>
    </w:p>
    <w:p w:rsidR="008D2263" w:rsidRPr="00153EF0" w:rsidRDefault="008D2263" w:rsidP="008D2263">
      <w:pPr>
        <w:spacing w:after="0" w:line="240" w:lineRule="auto"/>
        <w:rPr>
          <w:rFonts w:ascii="Tahoma" w:eastAsia="Times New Roman" w:hAnsi="Tahoma" w:cs="Tahoma"/>
          <w:color w:val="000000"/>
          <w:sz w:val="14"/>
          <w:szCs w:val="14"/>
          <w:shd w:val="clear" w:color="auto" w:fill="FFFFFF"/>
          <w:lang w:eastAsia="es-ES"/>
        </w:rPr>
      </w:pPr>
    </w:p>
    <w:p w:rsidR="008D2263" w:rsidRPr="0018394A" w:rsidRDefault="008D2263" w:rsidP="008D2263">
      <w:pPr>
        <w:pStyle w:val="Prrafodelista"/>
        <w:numPr>
          <w:ilvl w:val="0"/>
          <w:numId w:val="1"/>
        </w:numPr>
        <w:spacing w:after="0" w:line="240" w:lineRule="auto"/>
        <w:rPr>
          <w:rFonts w:ascii="Tahoma" w:hAnsi="Tahoma" w:cs="Tahoma"/>
          <w:color w:val="000000"/>
          <w:sz w:val="18"/>
          <w:szCs w:val="14"/>
          <w:shd w:val="clear" w:color="auto" w:fill="FFFFFF"/>
        </w:rPr>
      </w:pPr>
      <w:r w:rsidRPr="0018394A">
        <w:rPr>
          <w:rStyle w:val="Hipervnculo"/>
          <w:rFonts w:ascii="Tahoma" w:hAnsi="Tahoma" w:cs="Tahoma"/>
          <w:b/>
          <w:color w:val="0070C0"/>
          <w:sz w:val="18"/>
          <w:szCs w:val="14"/>
          <w:shd w:val="clear" w:color="auto" w:fill="FFFFFF"/>
        </w:rPr>
        <w:t xml:space="preserve">Resolución </w:t>
      </w:r>
      <w:hyperlink r:id="rId6" w:history="1">
        <w:r w:rsidRPr="0018394A">
          <w:rPr>
            <w:rStyle w:val="Hipervnculo"/>
            <w:rFonts w:ascii="Tahoma" w:hAnsi="Tahoma" w:cs="Tahoma"/>
            <w:b/>
            <w:color w:val="0070C0"/>
            <w:sz w:val="18"/>
            <w:szCs w:val="14"/>
            <w:shd w:val="clear" w:color="auto" w:fill="FFFFFF"/>
          </w:rPr>
          <w:t>NAC-DGERCGC16-00000010</w:t>
        </w:r>
      </w:hyperlink>
      <w:r w:rsidRPr="0018394A">
        <w:rPr>
          <w:rStyle w:val="Hipervnculo"/>
          <w:rFonts w:ascii="Tahoma" w:hAnsi="Tahoma" w:cs="Tahoma"/>
          <w:b/>
          <w:color w:val="0070C0"/>
          <w:sz w:val="18"/>
          <w:szCs w:val="14"/>
        </w:rPr>
        <w:t>:</w:t>
      </w:r>
      <w:r w:rsidRPr="0018394A">
        <w:rPr>
          <w:rFonts w:ascii="Tahoma" w:hAnsi="Tahoma" w:cs="Tahoma"/>
          <w:color w:val="0070C0"/>
          <w:sz w:val="18"/>
          <w:szCs w:val="14"/>
          <w:shd w:val="clear" w:color="auto" w:fill="FFFFFF"/>
        </w:rPr>
        <w:t xml:space="preserve"> </w:t>
      </w:r>
      <w:r w:rsidRPr="0018394A">
        <w:rPr>
          <w:rFonts w:ascii="Tahoma" w:hAnsi="Tahoma" w:cs="Tahoma"/>
          <w:color w:val="000000"/>
          <w:sz w:val="18"/>
          <w:szCs w:val="14"/>
          <w:shd w:val="clear" w:color="auto" w:fill="FFFFFF"/>
        </w:rPr>
        <w:t>Se expiden las normas para el pago de obligaciones tributarias y fiscales administradas por el SRI, mediante títulos del Banco Central (TBC).</w:t>
      </w:r>
    </w:p>
    <w:p w:rsidR="008D2263" w:rsidRPr="00153EF0" w:rsidRDefault="008D2263" w:rsidP="008D2263">
      <w:pPr>
        <w:spacing w:after="0" w:line="240" w:lineRule="auto"/>
        <w:rPr>
          <w:rFonts w:ascii="Tahoma" w:hAnsi="Tahoma" w:cs="Tahoma"/>
          <w:color w:val="000000"/>
          <w:sz w:val="14"/>
          <w:szCs w:val="14"/>
          <w:shd w:val="clear" w:color="auto" w:fill="FFFFFF"/>
        </w:rPr>
      </w:pPr>
    </w:p>
    <w:p w:rsidR="008D2263" w:rsidRPr="00153EF0" w:rsidRDefault="008D2263" w:rsidP="008D2263">
      <w:pPr>
        <w:shd w:val="clear" w:color="auto" w:fill="FFFFFF"/>
        <w:spacing w:after="0" w:line="240" w:lineRule="auto"/>
        <w:ind w:left="360"/>
        <w:jc w:val="center"/>
        <w:rPr>
          <w:rFonts w:ascii="Tahoma" w:eastAsia="Times New Roman" w:hAnsi="Tahoma" w:cs="Tahoma"/>
          <w:b/>
          <w:bCs/>
          <w:color w:val="000000"/>
          <w:sz w:val="14"/>
          <w:szCs w:val="14"/>
          <w:lang w:eastAsia="es-ES"/>
        </w:rPr>
        <w:sectPr w:rsidR="008D2263" w:rsidRPr="00153EF0" w:rsidSect="008D2263">
          <w:pgSz w:w="11906" w:h="16838"/>
          <w:pgMar w:top="1175" w:right="849" w:bottom="1276" w:left="1276" w:header="709" w:footer="708" w:gutter="0"/>
          <w:cols w:space="708"/>
          <w:docGrid w:linePitch="360"/>
        </w:sectPr>
      </w:pPr>
    </w:p>
    <w:p w:rsidR="008D2263" w:rsidRPr="00153EF0" w:rsidRDefault="008D2263" w:rsidP="008D2263">
      <w:pPr>
        <w:shd w:val="clear" w:color="auto" w:fill="FFFFFF"/>
        <w:spacing w:after="0" w:line="240" w:lineRule="auto"/>
        <w:ind w:left="142"/>
        <w:jc w:val="center"/>
        <w:rPr>
          <w:rFonts w:ascii="Tahoma" w:eastAsia="Times New Roman" w:hAnsi="Tahoma" w:cs="Tahoma"/>
          <w:color w:val="000000"/>
          <w:sz w:val="14"/>
          <w:szCs w:val="14"/>
          <w:lang w:eastAsia="es-ES"/>
        </w:rPr>
      </w:pPr>
      <w:r w:rsidRPr="00153EF0">
        <w:rPr>
          <w:rFonts w:ascii="Tahoma" w:eastAsia="Times New Roman" w:hAnsi="Tahoma" w:cs="Tahoma"/>
          <w:b/>
          <w:bCs/>
          <w:color w:val="000000"/>
          <w:sz w:val="14"/>
          <w:szCs w:val="14"/>
          <w:lang w:eastAsia="es-ES"/>
        </w:rPr>
        <w:lastRenderedPageBreak/>
        <w:t>Resuelve: </w:t>
      </w:r>
    </w:p>
    <w:p w:rsidR="008D2263" w:rsidRPr="00153EF0" w:rsidRDefault="008D2263" w:rsidP="008D2263">
      <w:pPr>
        <w:spacing w:after="0" w:line="240" w:lineRule="auto"/>
        <w:ind w:left="142"/>
        <w:jc w:val="both"/>
        <w:rPr>
          <w:rFonts w:ascii="Tahoma" w:eastAsia="Times New Roman" w:hAnsi="Tahoma" w:cs="Tahoma"/>
          <w:b/>
          <w:bCs/>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Expedir las normas para el pago de obligaciones</w:t>
      </w:r>
      <w:r w:rsidRPr="00153EF0">
        <w:rPr>
          <w:rFonts w:ascii="Tahoma" w:eastAsia="Times New Roman" w:hAnsi="Tahoma" w:cs="Tahoma"/>
          <w:color w:val="000000"/>
          <w:sz w:val="14"/>
          <w:szCs w:val="14"/>
          <w:shd w:val="clear" w:color="auto" w:fill="FFFFFF"/>
          <w:lang w:eastAsia="es-ES"/>
        </w:rPr>
        <w:t> </w:t>
      </w:r>
      <w:r w:rsidRPr="00153EF0">
        <w:rPr>
          <w:rFonts w:ascii="Tahoma" w:eastAsia="Times New Roman" w:hAnsi="Tahoma" w:cs="Tahoma"/>
          <w:b/>
          <w:bCs/>
          <w:color w:val="000000"/>
          <w:sz w:val="14"/>
          <w:szCs w:val="14"/>
          <w:shd w:val="clear" w:color="auto" w:fill="FFFFFF"/>
          <w:lang w:eastAsia="es-ES"/>
        </w:rPr>
        <w:t>tributarias y fiscales administradas por el Servicio de</w:t>
      </w:r>
      <w:r w:rsidRPr="00153EF0">
        <w:rPr>
          <w:rFonts w:ascii="Tahoma" w:eastAsia="Times New Roman" w:hAnsi="Tahoma" w:cs="Tahoma"/>
          <w:color w:val="000000"/>
          <w:sz w:val="14"/>
          <w:szCs w:val="14"/>
          <w:shd w:val="clear" w:color="auto" w:fill="FFFFFF"/>
          <w:lang w:eastAsia="es-ES"/>
        </w:rPr>
        <w:t> </w:t>
      </w:r>
      <w:r w:rsidRPr="00153EF0">
        <w:rPr>
          <w:rFonts w:ascii="Tahoma" w:eastAsia="Times New Roman" w:hAnsi="Tahoma" w:cs="Tahoma"/>
          <w:b/>
          <w:bCs/>
          <w:color w:val="000000"/>
          <w:sz w:val="14"/>
          <w:szCs w:val="14"/>
          <w:shd w:val="clear" w:color="auto" w:fill="FFFFFF"/>
          <w:lang w:eastAsia="es-ES"/>
        </w:rPr>
        <w:t>Rentas Internas mediante Títulos del Banco Central</w:t>
      </w:r>
      <w:r w:rsidRPr="00153EF0">
        <w:rPr>
          <w:rFonts w:ascii="Tahoma" w:eastAsia="Times New Roman" w:hAnsi="Tahoma" w:cs="Tahoma"/>
          <w:color w:val="000000"/>
          <w:sz w:val="14"/>
          <w:szCs w:val="14"/>
          <w:shd w:val="clear" w:color="auto" w:fill="FFFFFF"/>
          <w:lang w:eastAsia="es-ES"/>
        </w:rPr>
        <w:t> </w:t>
      </w:r>
      <w:r w:rsidRPr="00153EF0">
        <w:rPr>
          <w:rFonts w:ascii="Tahoma" w:eastAsia="Times New Roman" w:hAnsi="Tahoma" w:cs="Tahoma"/>
          <w:b/>
          <w:bCs/>
          <w:color w:val="000000"/>
          <w:sz w:val="14"/>
          <w:szCs w:val="14"/>
          <w:shd w:val="clear" w:color="auto" w:fill="FFFFFF"/>
          <w:lang w:eastAsia="es-ES"/>
        </w:rPr>
        <w:t>(TBC)</w:t>
      </w:r>
    </w:p>
    <w:p w:rsidR="008D2263" w:rsidRPr="00153EF0" w:rsidRDefault="008D2263" w:rsidP="008D2263">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Artículo 1. Objeto.- </w:t>
      </w:r>
      <w:r w:rsidRPr="00153EF0">
        <w:rPr>
          <w:rFonts w:ascii="Tahoma" w:eastAsia="Times New Roman" w:hAnsi="Tahoma" w:cs="Tahoma"/>
          <w:color w:val="000000"/>
          <w:sz w:val="14"/>
          <w:szCs w:val="14"/>
          <w:shd w:val="clear" w:color="auto" w:fill="FFFFFF"/>
          <w:lang w:eastAsia="es-ES"/>
        </w:rPr>
        <w:t>Establecer las normas para el pago de obligaciones tributarias y fiscales, al día o vencidas, presentadas en declaraciones de impuestos administrados por el Servicio de Rentas Internas mediante Títulos del Banco Central (TBC).</w:t>
      </w:r>
    </w:p>
    <w:p w:rsidR="008D2263" w:rsidRPr="00153EF0" w:rsidRDefault="008D2263" w:rsidP="008D2263">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Artículo 2. Alternativas para el uso del TBC- </w:t>
      </w:r>
      <w:r w:rsidRPr="00153EF0">
        <w:rPr>
          <w:rFonts w:ascii="Tahoma" w:eastAsia="Times New Roman" w:hAnsi="Tahoma" w:cs="Tahoma"/>
          <w:color w:val="000000"/>
          <w:sz w:val="14"/>
          <w:szCs w:val="14"/>
          <w:shd w:val="clear" w:color="auto" w:fill="FFFFFF"/>
          <w:lang w:eastAsia="es-ES"/>
        </w:rPr>
        <w:t>Los sujetos pasivos que, previo cumplimiento de los lineamientos y requisitos establecidos por parte del Ministerio de Finanzas, sean titulares de Títulos del Banco Central (TBC), y requieran pagar tributos administrados por el Servicio de Rentas Internas, tendrán varias alternativas de pago disponibles, siendo estas las siguientes:</w:t>
      </w:r>
    </w:p>
    <w:p w:rsidR="008D2263" w:rsidRPr="00153EF0" w:rsidRDefault="008D2263" w:rsidP="008D2263">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a) Consignarán el valor a utilizarse en el formulario de declaración de impuestos, en el campo que permite el pago con estos títulos, o,</w:t>
      </w:r>
    </w:p>
    <w:p w:rsidR="008D2263" w:rsidRPr="00153EF0" w:rsidRDefault="008D2263" w:rsidP="008D2263">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b) Realizarán una liquidación de obligaciones con la institución pública pagadora y el Servicio de Rentas Internas.</w:t>
      </w:r>
    </w:p>
    <w:p w:rsidR="008D2263" w:rsidRPr="00153EF0" w:rsidRDefault="008D2263" w:rsidP="008D2263">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Estos procesos de pago se efectuarán a valor nominal.</w:t>
      </w:r>
    </w:p>
    <w:p w:rsidR="008D2263" w:rsidRPr="00153EF0" w:rsidRDefault="008D2263" w:rsidP="008D2263">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Artículo 3. Pagos en el campo de Títulos del Banco Central.- </w:t>
      </w:r>
      <w:r w:rsidRPr="00153EF0">
        <w:rPr>
          <w:rFonts w:ascii="Tahoma" w:eastAsia="Times New Roman" w:hAnsi="Tahoma" w:cs="Tahoma"/>
          <w:color w:val="000000"/>
          <w:sz w:val="14"/>
          <w:szCs w:val="14"/>
          <w:shd w:val="clear" w:color="auto" w:fill="FFFFFF"/>
          <w:lang w:eastAsia="es-ES"/>
        </w:rPr>
        <w:t>Para consignar el valor a pagar con Títulos del Banco Central (TBC) en su respectivo casillero de los formularios de declaración de impuestos, el sujeto pasivo beneficiario deberá:</w:t>
      </w:r>
    </w:p>
    <w:p w:rsidR="008D2263" w:rsidRPr="00153EF0" w:rsidRDefault="008D2263" w:rsidP="008D2263">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a) Autorizar previamente la transferencia del monto que requiera utilizar en su declaración de impuestos, a la subcuenta de valores del Servicio de Rentas Internas, a través de una casa de valores o del Depósito Centralizado de Valores del Banco Central del Ecuador.</w:t>
      </w:r>
    </w:p>
    <w:p w:rsidR="008D2263" w:rsidRPr="00153EF0" w:rsidRDefault="008D2263" w:rsidP="008D2263">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b) Una vez transferido el Título del Banco Central (TBC) a la subcuenta del Servicio de Rentas Internas, el mencionado valor será habilitado, para su utilización en el correspondiente campo de pago con Títulos del Banco Central (TBC) en el formulario de declaración de impuestos.</w:t>
      </w:r>
    </w:p>
    <w:p w:rsidR="008D2263" w:rsidRPr="00153EF0" w:rsidRDefault="008D2263" w:rsidP="008D2263">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En caso de existir medidas cautelares interpuestas a los contribuyentes beneficiarios, el mencionado valor será habilitado una vez finalizado el análisis correspondiente respecto de una posible retención de los valores adeudados, de conformidad con la Ley.</w:t>
      </w:r>
    </w:p>
    <w:p w:rsidR="008D2263" w:rsidRPr="00153EF0" w:rsidRDefault="008D2263" w:rsidP="008D2263">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Artículo 4. Pago mediante liquidación de obligaciones.</w:t>
      </w:r>
      <w:r w:rsidRPr="00153EF0">
        <w:rPr>
          <w:rFonts w:ascii="Tahoma" w:eastAsia="Times New Roman" w:hAnsi="Tahoma" w:cs="Tahoma"/>
          <w:color w:val="000000"/>
          <w:sz w:val="14"/>
          <w:szCs w:val="14"/>
          <w:shd w:val="clear" w:color="auto" w:fill="FFFFFF"/>
          <w:lang w:eastAsia="es-ES"/>
        </w:rPr>
        <w:t>- Cuando un sujeto pasivo identifique deudas firmes registradas en el Servicio de Rentas Internas; y a la vez, valores pendientes de cobro a alguna institución del Estado, al momento de recibir los Títulos del Banco Central (TBC) podrá cancelar su obligación tributaria, como parte del mismo proceso, mediante la suscripción en el Ministerio de Finanzas de una instrucción dirigida al Depósito Centralizado de Valores del Banco Central del Ecuador, en la que solicitará la transferencia del valor recibido o de parte de este, a la subcuenta de valores del Servicio de Rentas Internas. Para el efecto, tanto el Servicio de Rentas Internas como la institución pública pagadora, confirmarán los valores que podrán ser liquidados mediante este mecanismo de pago.</w:t>
      </w:r>
    </w:p>
    <w:p w:rsidR="008D2263" w:rsidRPr="00153EF0" w:rsidRDefault="008D2263" w:rsidP="008D2263">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Con la instrucción suscrita, el Depósito Centralizado de Compensación y Liquidación de Valores del Banco Central del Ecuador registrará las transacciones implícitas, entre las que se verificará el pago del Título del Banco Central (TBC) al Servicio de Rentas Internas.</w:t>
      </w:r>
    </w:p>
    <w:p w:rsidR="008D2263" w:rsidRPr="00153EF0" w:rsidRDefault="008D2263" w:rsidP="008D2263">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Este proceso estará habilitado únicamente para las instituciones del Estado establecidas por el Ministerio de Finanzas.</w:t>
      </w:r>
    </w:p>
    <w:p w:rsidR="008D2263" w:rsidRPr="00153EF0" w:rsidRDefault="008D2263" w:rsidP="008D2263">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Artículo 5. Requisitos para la habilitación del Título del Banco Central.- </w:t>
      </w:r>
      <w:r w:rsidRPr="00153EF0">
        <w:rPr>
          <w:rFonts w:ascii="Tahoma" w:eastAsia="Times New Roman" w:hAnsi="Tahoma" w:cs="Tahoma"/>
          <w:color w:val="000000"/>
          <w:sz w:val="14"/>
          <w:szCs w:val="14"/>
          <w:shd w:val="clear" w:color="auto" w:fill="FFFFFF"/>
          <w:lang w:eastAsia="es-ES"/>
        </w:rPr>
        <w:t>El Servicio de Rentas Internas habilitará el Título del Banco Central (TBC) exclusivamente cuando se certifique que dichos valores han sido transferidos a su subcuenta de valores y el Depósito Centralizado de Valores del Banco Central del Ecuador haya provisto los datos mínimos requeridos que se muestran a continuación:</w:t>
      </w:r>
    </w:p>
    <w:p w:rsidR="008D2263" w:rsidRPr="00153EF0" w:rsidRDefault="008D2263" w:rsidP="008D2263">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1. RUC y razón social del beneficiario;</w:t>
      </w:r>
    </w:p>
    <w:p w:rsidR="008D2263" w:rsidRPr="00153EF0" w:rsidRDefault="008D2263" w:rsidP="008D2263">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2. Número referencial del Título del Banco Central (TBC);</w:t>
      </w:r>
    </w:p>
    <w:p w:rsidR="008D2263" w:rsidRPr="00153EF0" w:rsidRDefault="008D2263" w:rsidP="008D2263">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3. Fecha de emisión del Título del Banco Central (TBC);</w:t>
      </w:r>
    </w:p>
    <w:p w:rsidR="008D2263" w:rsidRPr="00153EF0" w:rsidRDefault="008D2263" w:rsidP="008D2263">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4. Valor del Título del Banco Central (TBC);</w:t>
      </w:r>
    </w:p>
    <w:p w:rsidR="008D2263" w:rsidRPr="00153EF0" w:rsidRDefault="008D2263" w:rsidP="008D2263">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5. Fecha de la transferencia del Título del Banco Central (TBC) a la Subcuenta de Valores del Servicio de Rentas Internas; y,</w:t>
      </w:r>
    </w:p>
    <w:p w:rsidR="008D2263" w:rsidRPr="00153EF0" w:rsidRDefault="008D2263" w:rsidP="008D2263">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lastRenderedPageBreak/>
        <w:t>6. Número de la subcuenta de valores del contribuyente en el Depósito Centralizado de Compensación y Liquidación de Valores del Banco Central del Ecuador.</w:t>
      </w:r>
    </w:p>
    <w:p w:rsidR="008D2263" w:rsidRPr="00153EF0" w:rsidRDefault="008D2263" w:rsidP="008D2263">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Artículo 6.- </w:t>
      </w:r>
      <w:r w:rsidRPr="00153EF0">
        <w:rPr>
          <w:rFonts w:ascii="Tahoma" w:eastAsia="Times New Roman" w:hAnsi="Tahoma" w:cs="Tahoma"/>
          <w:color w:val="000000"/>
          <w:sz w:val="14"/>
          <w:szCs w:val="14"/>
          <w:shd w:val="clear" w:color="auto" w:fill="FFFFFF"/>
          <w:lang w:eastAsia="es-ES"/>
        </w:rPr>
        <w:t>Todas las unidades del Servicio de Rentas Internas, deberán considerar lo dispuesto en la presente Resolución dentro de sus respectivos procesos de control.</w:t>
      </w:r>
    </w:p>
    <w:p w:rsidR="008D2263" w:rsidRPr="00153EF0" w:rsidRDefault="008D2263" w:rsidP="008D2263">
      <w:pPr>
        <w:spacing w:after="0" w:line="240" w:lineRule="auto"/>
        <w:ind w:left="142"/>
        <w:jc w:val="both"/>
        <w:rPr>
          <w:rFonts w:ascii="Tahoma" w:eastAsia="Times New Roman" w:hAnsi="Tahoma" w:cs="Tahoma"/>
          <w:sz w:val="14"/>
          <w:szCs w:val="14"/>
          <w:lang w:eastAsia="es-ES"/>
        </w:rPr>
      </w:pPr>
    </w:p>
    <w:p w:rsidR="008D2263" w:rsidRPr="00153EF0" w:rsidRDefault="008D2263" w:rsidP="008D2263">
      <w:pPr>
        <w:shd w:val="clear" w:color="auto" w:fill="FFFFFF"/>
        <w:spacing w:after="0" w:line="240" w:lineRule="auto"/>
        <w:ind w:left="142"/>
        <w:jc w:val="center"/>
        <w:rPr>
          <w:rFonts w:ascii="Tahoma" w:eastAsia="Times New Roman" w:hAnsi="Tahoma" w:cs="Tahoma"/>
          <w:b/>
          <w:bCs/>
          <w:color w:val="000000"/>
          <w:sz w:val="14"/>
          <w:szCs w:val="14"/>
          <w:lang w:eastAsia="es-ES"/>
        </w:rPr>
      </w:pPr>
      <w:r w:rsidRPr="00153EF0">
        <w:rPr>
          <w:rFonts w:ascii="Tahoma" w:eastAsia="Times New Roman" w:hAnsi="Tahoma" w:cs="Tahoma"/>
          <w:b/>
          <w:bCs/>
          <w:color w:val="000000"/>
          <w:sz w:val="14"/>
          <w:szCs w:val="14"/>
          <w:lang w:eastAsia="es-ES"/>
        </w:rPr>
        <w:t>DISPOSICIONES GENERALES</w:t>
      </w:r>
    </w:p>
    <w:p w:rsidR="008D2263" w:rsidRPr="00153EF0" w:rsidRDefault="008D2263" w:rsidP="008D2263">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PRIMERA.- </w:t>
      </w:r>
      <w:r w:rsidRPr="00153EF0">
        <w:rPr>
          <w:rFonts w:ascii="Tahoma" w:eastAsia="Times New Roman" w:hAnsi="Tahoma" w:cs="Tahoma"/>
          <w:color w:val="000000"/>
          <w:sz w:val="14"/>
          <w:szCs w:val="14"/>
          <w:shd w:val="clear" w:color="auto" w:fill="FFFFFF"/>
          <w:lang w:eastAsia="es-ES"/>
        </w:rPr>
        <w:t>El Servicio de Rentas Internas implementará los procesos que corresponda para identificar y validar la recepción de los Títulos del Banco Central (TBC).</w:t>
      </w:r>
    </w:p>
    <w:p w:rsidR="008D2263" w:rsidRPr="00153EF0" w:rsidRDefault="008D2263" w:rsidP="008D2263">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SEGUNDA.- </w:t>
      </w:r>
      <w:r w:rsidRPr="00153EF0">
        <w:rPr>
          <w:rFonts w:ascii="Tahoma" w:eastAsia="Times New Roman" w:hAnsi="Tahoma" w:cs="Tahoma"/>
          <w:color w:val="000000"/>
          <w:sz w:val="14"/>
          <w:szCs w:val="14"/>
          <w:shd w:val="clear" w:color="auto" w:fill="FFFFFF"/>
          <w:lang w:eastAsia="es-ES"/>
        </w:rPr>
        <w:t>La Dirección Nacional de Recaudación y Asistencia al Ciudadano del Servicio de Rentas Internas será la unidad responsable del registro de los pagos efectuados con Títulos del Banco Central (TBC); para lo cual deberá observar el procedimiento descrito en la presente resolución.</w:t>
      </w:r>
    </w:p>
    <w:p w:rsidR="008D2263" w:rsidRPr="00153EF0" w:rsidRDefault="008D2263" w:rsidP="008D2263">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TERCERA.- </w:t>
      </w:r>
      <w:r w:rsidRPr="00153EF0">
        <w:rPr>
          <w:rFonts w:ascii="Tahoma" w:eastAsia="Times New Roman" w:hAnsi="Tahoma" w:cs="Tahoma"/>
          <w:color w:val="000000"/>
          <w:sz w:val="14"/>
          <w:szCs w:val="14"/>
          <w:shd w:val="clear" w:color="auto" w:fill="FFFFFF"/>
          <w:lang w:eastAsia="es-ES"/>
        </w:rPr>
        <w:t>El Servicio de Rentas Internas incorporará el campo de pago con Títulos del Banco Central (TBC) en los distintos formularios de declaración de impuestos.</w:t>
      </w:r>
    </w:p>
    <w:p w:rsidR="008D2263" w:rsidRPr="00153EF0" w:rsidRDefault="008D2263" w:rsidP="008D2263">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DISPOSICIÓN REFORMATORIA ÚNICA.- </w:t>
      </w:r>
      <w:r w:rsidRPr="00153EF0">
        <w:rPr>
          <w:rFonts w:ascii="Tahoma" w:eastAsia="Times New Roman" w:hAnsi="Tahoma" w:cs="Tahoma"/>
          <w:color w:val="000000"/>
          <w:sz w:val="14"/>
          <w:szCs w:val="14"/>
          <w:shd w:val="clear" w:color="auto" w:fill="FFFFFF"/>
          <w:lang w:eastAsia="es-ES"/>
        </w:rPr>
        <w:t>Efectúese las siguientes reformas en el artículo 3 de la Resolución No. NAC-DGERCGC10-00003 publicada en el Registro Oficial 115 de fecha 25 de enero de 2010:</w:t>
      </w:r>
    </w:p>
    <w:p w:rsidR="008D2263" w:rsidRPr="00153EF0" w:rsidRDefault="008D2263" w:rsidP="008D2263">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1. - En el literal d) elimínese "y,"</w:t>
      </w:r>
    </w:p>
    <w:p w:rsidR="008D2263" w:rsidRPr="00153EF0" w:rsidRDefault="008D2263" w:rsidP="008D2263">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 xml:space="preserve">2.- </w:t>
      </w:r>
      <w:proofErr w:type="spellStart"/>
      <w:r w:rsidRPr="00153EF0">
        <w:rPr>
          <w:rFonts w:ascii="Tahoma" w:eastAsia="Times New Roman" w:hAnsi="Tahoma" w:cs="Tahoma"/>
          <w:color w:val="000000"/>
          <w:sz w:val="14"/>
          <w:szCs w:val="14"/>
          <w:shd w:val="clear" w:color="auto" w:fill="FFFFFF"/>
          <w:lang w:eastAsia="es-ES"/>
        </w:rPr>
        <w:t>Sustituyase</w:t>
      </w:r>
      <w:proofErr w:type="spellEnd"/>
      <w:r w:rsidRPr="00153EF0">
        <w:rPr>
          <w:rFonts w:ascii="Tahoma" w:eastAsia="Times New Roman" w:hAnsi="Tahoma" w:cs="Tahoma"/>
          <w:color w:val="000000"/>
          <w:sz w:val="14"/>
          <w:szCs w:val="14"/>
          <w:shd w:val="clear" w:color="auto" w:fill="FFFFFF"/>
          <w:lang w:eastAsia="es-ES"/>
        </w:rPr>
        <w:t xml:space="preserve"> el punto final del literal e) por punto y coma</w:t>
      </w:r>
    </w:p>
    <w:p w:rsidR="008D2263" w:rsidRPr="00153EF0" w:rsidRDefault="008D2263" w:rsidP="008D2263">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3.-Agregúese el siguiente literal: "f) Otras establecidas en la normativa vigente."</w:t>
      </w:r>
    </w:p>
    <w:p w:rsidR="008D2263" w:rsidRPr="00153EF0" w:rsidRDefault="008D2263" w:rsidP="008D2263">
      <w:pPr>
        <w:spacing w:after="0" w:line="240" w:lineRule="auto"/>
        <w:ind w:left="142"/>
        <w:jc w:val="both"/>
        <w:rPr>
          <w:rFonts w:ascii="Tahoma" w:eastAsia="Times New Roman" w:hAnsi="Tahoma" w:cs="Tahoma"/>
          <w:sz w:val="14"/>
          <w:szCs w:val="14"/>
          <w:lang w:eastAsia="es-ES"/>
        </w:rPr>
      </w:pPr>
    </w:p>
    <w:p w:rsidR="008D2263" w:rsidRPr="00153EF0" w:rsidRDefault="008D2263" w:rsidP="008D2263">
      <w:pPr>
        <w:shd w:val="clear" w:color="auto" w:fill="FFFFFF"/>
        <w:spacing w:after="0" w:line="240" w:lineRule="auto"/>
        <w:ind w:left="142"/>
        <w:jc w:val="center"/>
        <w:rPr>
          <w:rFonts w:ascii="Tahoma" w:eastAsia="Times New Roman" w:hAnsi="Tahoma" w:cs="Tahoma"/>
          <w:b/>
          <w:bCs/>
          <w:color w:val="000000"/>
          <w:sz w:val="14"/>
          <w:szCs w:val="14"/>
          <w:lang w:eastAsia="es-ES"/>
        </w:rPr>
      </w:pPr>
      <w:r w:rsidRPr="00153EF0">
        <w:rPr>
          <w:rFonts w:ascii="Tahoma" w:eastAsia="Times New Roman" w:hAnsi="Tahoma" w:cs="Tahoma"/>
          <w:b/>
          <w:bCs/>
          <w:color w:val="000000"/>
          <w:sz w:val="14"/>
          <w:szCs w:val="14"/>
          <w:lang w:eastAsia="es-ES"/>
        </w:rPr>
        <w:t>DISPOSICIONES TRANSITORIAS</w:t>
      </w:r>
    </w:p>
    <w:p w:rsidR="008D2263" w:rsidRPr="00153EF0" w:rsidRDefault="008D2263" w:rsidP="008D2263">
      <w:pPr>
        <w:shd w:val="clear" w:color="auto" w:fill="FFFFFF"/>
        <w:spacing w:after="0" w:line="240" w:lineRule="auto"/>
        <w:ind w:left="142"/>
        <w:jc w:val="both"/>
        <w:rPr>
          <w:rFonts w:ascii="Tahoma" w:eastAsia="Times New Roman" w:hAnsi="Tahoma" w:cs="Tahoma"/>
          <w:color w:val="000000"/>
          <w:sz w:val="14"/>
          <w:szCs w:val="14"/>
          <w:lang w:eastAsia="es-ES"/>
        </w:rPr>
      </w:pPr>
    </w:p>
    <w:p w:rsidR="008D2263" w:rsidRPr="00153EF0" w:rsidRDefault="008D2263" w:rsidP="008D2263">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b/>
          <w:bCs/>
          <w:color w:val="000000"/>
          <w:sz w:val="14"/>
          <w:szCs w:val="14"/>
          <w:shd w:val="clear" w:color="auto" w:fill="FFFFFF"/>
          <w:lang w:eastAsia="es-ES"/>
        </w:rPr>
        <w:t>PRIMERA.- </w:t>
      </w:r>
      <w:r w:rsidRPr="00153EF0">
        <w:rPr>
          <w:rFonts w:ascii="Tahoma" w:eastAsia="Times New Roman" w:hAnsi="Tahoma" w:cs="Tahoma"/>
          <w:color w:val="000000"/>
          <w:sz w:val="14"/>
          <w:szCs w:val="14"/>
          <w:shd w:val="clear" w:color="auto" w:fill="FFFFFF"/>
          <w:lang w:eastAsia="es-ES"/>
        </w:rPr>
        <w:t>De conformidad con lo establecido en esta resolución, las instituciones involucradas deberán realizar el desarrollo informático y el procedimiento correspondiente, para dar operatividad, aceptar y validar los Títulos del Banco Central.</w:t>
      </w:r>
    </w:p>
    <w:p w:rsidR="008D2263" w:rsidRPr="00153EF0" w:rsidRDefault="008D2263" w:rsidP="008D2263">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SEGUNDA.- </w:t>
      </w:r>
      <w:r w:rsidRPr="00153EF0">
        <w:rPr>
          <w:rFonts w:ascii="Tahoma" w:eastAsia="Times New Roman" w:hAnsi="Tahoma" w:cs="Tahoma"/>
          <w:color w:val="000000"/>
          <w:sz w:val="14"/>
          <w:szCs w:val="14"/>
          <w:shd w:val="clear" w:color="auto" w:fill="FFFFFF"/>
          <w:lang w:eastAsia="es-ES"/>
        </w:rPr>
        <w:t>Hasta que los formularios de declaración de impuestos cuenten con un campo en el que se permita consignar el valor a pagar con Títulos del Banco Central (TBC), el sujeto pasivo beneficiario deberá:</w:t>
      </w:r>
    </w:p>
    <w:p w:rsidR="008D2263" w:rsidRPr="00153EF0" w:rsidRDefault="008D2263" w:rsidP="008D2263">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a) Autorizar la transferencia del monto que exclusivamente requiera utilizar en su declaración de impuestos, a la subcuenta de valores del Servicio de Rentas Internas, a través de una casa de valores o del Depósito Centralizado de Valores del Banco Central del Ecuador.</w:t>
      </w:r>
    </w:p>
    <w:p w:rsidR="008D2263" w:rsidRPr="00153EF0" w:rsidRDefault="008D2263" w:rsidP="008D2263">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b) Una vez transferido el Título del Banco Central (TBC) y previa confirmación de su recepción por parte del Depósito Centralizado de Valores del Banco Central del Ecuador, el Servicio de Rentas Internas habilitará su utilización en el casillero 915, de los formularios de declaración de impuestos.</w:t>
      </w:r>
    </w:p>
    <w:p w:rsidR="008D2263" w:rsidRPr="00153EF0" w:rsidRDefault="008D2263" w:rsidP="008D2263">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c) En caso de que el contribuyente mantenga saldos previos en su cuenta única de valores para el pago de impuestos de distintas fuentes, estos valores se imputarán posteriormente al uso de los Títulos del Banco Central (TBC) que hayan sido endosados al Servicio de Rentas Internas.</w:t>
      </w:r>
    </w:p>
    <w:p w:rsidR="008D2263" w:rsidRPr="00153EF0" w:rsidRDefault="008D2263" w:rsidP="008D2263">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En caso de existir deudas firmes registradas en el Servicio de Rentas Internas o medidas cautelares interpuestas a los contribuyentes beneficiarios de los Títulos del Banco Central (TBC), la habilitación del Título del Banco Central (TBC) iniciará una vez finalizado el análisis correspondiente respecto de una posible compensación o retención de los valores adeudados, de conformidad con la Ley.</w:t>
      </w:r>
    </w:p>
    <w:p w:rsidR="008D2263" w:rsidRPr="00153EF0" w:rsidRDefault="008D2263" w:rsidP="008D2263">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DISPOSICIÓN FINAL.- </w:t>
      </w:r>
      <w:r w:rsidRPr="00153EF0">
        <w:rPr>
          <w:rFonts w:ascii="Tahoma" w:eastAsia="Times New Roman" w:hAnsi="Tahoma" w:cs="Tahoma"/>
          <w:color w:val="000000"/>
          <w:sz w:val="14"/>
          <w:szCs w:val="14"/>
          <w:shd w:val="clear" w:color="auto" w:fill="FFFFFF"/>
          <w:lang w:eastAsia="es-ES"/>
        </w:rPr>
        <w:t>La presente Resolución entrará en vigencia a partir de su suscripción, independientemente de su publicación en el Registro Oficial.</w:t>
      </w:r>
    </w:p>
    <w:p w:rsidR="008D2263" w:rsidRPr="00153EF0" w:rsidRDefault="008D2263" w:rsidP="008D2263">
      <w:pPr>
        <w:spacing w:after="0" w:line="240" w:lineRule="auto"/>
        <w:ind w:left="142"/>
        <w:jc w:val="both"/>
        <w:rPr>
          <w:rFonts w:ascii="Tahoma" w:eastAsia="Times New Roman" w:hAnsi="Tahoma" w:cs="Tahoma"/>
          <w:color w:val="000000"/>
          <w:sz w:val="14"/>
          <w:szCs w:val="14"/>
          <w:shd w:val="clear" w:color="auto" w:fill="FFFFFF"/>
          <w:lang w:eastAsia="es-ES"/>
        </w:rPr>
      </w:pPr>
    </w:p>
    <w:p w:rsidR="008D2263" w:rsidRPr="00153EF0" w:rsidRDefault="008D2263" w:rsidP="008D2263">
      <w:pPr>
        <w:spacing w:after="0" w:line="240" w:lineRule="auto"/>
        <w:ind w:left="142"/>
        <w:jc w:val="both"/>
        <w:rPr>
          <w:rFonts w:ascii="Tahoma" w:hAnsi="Tahoma" w:cs="Tahoma"/>
          <w:color w:val="000000"/>
          <w:sz w:val="14"/>
          <w:szCs w:val="14"/>
          <w:shd w:val="clear" w:color="auto" w:fill="FFFFFF"/>
        </w:rPr>
      </w:pPr>
      <w:r w:rsidRPr="00153EF0">
        <w:rPr>
          <w:rFonts w:ascii="Tahoma" w:hAnsi="Tahoma" w:cs="Tahoma"/>
          <w:color w:val="000000"/>
          <w:sz w:val="14"/>
          <w:szCs w:val="14"/>
          <w:shd w:val="clear" w:color="auto" w:fill="FFFFFF"/>
        </w:rPr>
        <w:t>Comuníquese y publíquese.</w:t>
      </w:r>
    </w:p>
    <w:p w:rsidR="008D2263" w:rsidRPr="00153EF0" w:rsidRDefault="008D2263" w:rsidP="008D2263">
      <w:pPr>
        <w:spacing w:after="0" w:line="240" w:lineRule="auto"/>
        <w:ind w:left="142"/>
        <w:jc w:val="both"/>
        <w:rPr>
          <w:rFonts w:ascii="Tahoma" w:hAnsi="Tahoma" w:cs="Tahoma"/>
          <w:color w:val="000000"/>
          <w:sz w:val="14"/>
          <w:szCs w:val="14"/>
          <w:shd w:val="clear" w:color="auto" w:fill="FFFFFF"/>
        </w:rPr>
      </w:pPr>
      <w:r w:rsidRPr="00153EF0">
        <w:rPr>
          <w:rFonts w:ascii="Tahoma" w:hAnsi="Tahoma" w:cs="Tahoma"/>
          <w:color w:val="000000"/>
          <w:sz w:val="14"/>
          <w:szCs w:val="14"/>
        </w:rPr>
        <w:br/>
      </w:r>
      <w:r w:rsidRPr="00153EF0">
        <w:rPr>
          <w:rFonts w:ascii="Tahoma" w:hAnsi="Tahoma" w:cs="Tahoma"/>
          <w:color w:val="000000"/>
          <w:sz w:val="14"/>
          <w:szCs w:val="14"/>
          <w:shd w:val="clear" w:color="auto" w:fill="FFFFFF"/>
        </w:rPr>
        <w:t>Dado en Quito D.M., a 07 de enero de 2016.</w:t>
      </w:r>
    </w:p>
    <w:p w:rsidR="008D2263" w:rsidRDefault="008D2263" w:rsidP="008D2263">
      <w:pPr>
        <w:spacing w:after="0" w:line="240" w:lineRule="auto"/>
        <w:ind w:left="360"/>
        <w:jc w:val="both"/>
        <w:rPr>
          <w:rFonts w:ascii="Tahoma" w:hAnsi="Tahoma" w:cs="Tahoma"/>
          <w:color w:val="000000"/>
          <w:sz w:val="27"/>
          <w:szCs w:val="27"/>
          <w:shd w:val="clear" w:color="auto" w:fill="FFFFFF"/>
        </w:rPr>
        <w:sectPr w:rsidR="008D2263" w:rsidSect="00A76978">
          <w:type w:val="continuous"/>
          <w:pgSz w:w="11906" w:h="16838"/>
          <w:pgMar w:top="1175" w:right="849" w:bottom="426" w:left="1276" w:header="709" w:footer="708" w:gutter="0"/>
          <w:cols w:num="2" w:space="286"/>
          <w:docGrid w:linePitch="360"/>
        </w:sectPr>
      </w:pPr>
    </w:p>
    <w:p w:rsidR="008D2263" w:rsidRDefault="008D2263" w:rsidP="008D2263">
      <w:pPr>
        <w:spacing w:after="0" w:line="240" w:lineRule="auto"/>
        <w:ind w:left="360"/>
        <w:jc w:val="both"/>
        <w:rPr>
          <w:rFonts w:ascii="Tahoma" w:hAnsi="Tahoma" w:cs="Tahoma"/>
          <w:color w:val="000000"/>
          <w:sz w:val="27"/>
          <w:szCs w:val="27"/>
          <w:shd w:val="clear" w:color="auto" w:fill="FFFFFF"/>
        </w:rPr>
      </w:pPr>
    </w:p>
    <w:p w:rsidR="008E49C1" w:rsidRDefault="008D2263"/>
    <w:sectPr w:rsidR="008E49C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8.75pt;height:8.75pt" o:bullet="t">
        <v:imagedata r:id="rId1" o:title="BD15059_"/>
      </v:shape>
    </w:pict>
  </w:numPicBullet>
  <w:abstractNum w:abstractNumId="0">
    <w:nsid w:val="13722DC9"/>
    <w:multiLevelType w:val="hybridMultilevel"/>
    <w:tmpl w:val="817875F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2263"/>
    <w:rsid w:val="00323ADC"/>
    <w:rsid w:val="0064604D"/>
    <w:rsid w:val="008D2263"/>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226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8D2263"/>
    <w:rPr>
      <w:color w:val="0000FF"/>
      <w:u w:val="single"/>
    </w:rPr>
  </w:style>
  <w:style w:type="paragraph" w:styleId="Prrafodelista">
    <w:name w:val="List Paragraph"/>
    <w:basedOn w:val="Normal"/>
    <w:uiPriority w:val="34"/>
    <w:qFormat/>
    <w:rsid w:val="008D226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226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8D2263"/>
    <w:rPr>
      <w:color w:val="0000FF"/>
      <w:u w:val="single"/>
    </w:rPr>
  </w:style>
  <w:style w:type="paragraph" w:styleId="Prrafodelista">
    <w:name w:val="List Paragraph"/>
    <w:basedOn w:val="Normal"/>
    <w:uiPriority w:val="34"/>
    <w:qFormat/>
    <w:rsid w:val="008D22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Vincular('808877')" TargetMode="Externa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1173</Words>
  <Characters>6455</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NILO</dc:creator>
  <cp:lastModifiedBy>NILO</cp:lastModifiedBy>
  <cp:revision>1</cp:revision>
  <dcterms:created xsi:type="dcterms:W3CDTF">2016-03-21T16:00:00Z</dcterms:created>
  <dcterms:modified xsi:type="dcterms:W3CDTF">2016-03-21T16:01:00Z</dcterms:modified>
</cp:coreProperties>
</file>